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4799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63FAD36">
      <w:pPr>
        <w:spacing w:line="540" w:lineRule="exact"/>
        <w:jc w:val="center"/>
        <w:rPr>
          <w:rFonts w:ascii="华文中宋" w:hAnsi="华文中宋" w:eastAsia="华文中宋" w:cs="宋体"/>
          <w:b/>
          <w:kern w:val="0"/>
          <w:sz w:val="52"/>
          <w:szCs w:val="52"/>
        </w:rPr>
      </w:pPr>
    </w:p>
    <w:p w14:paraId="5336C51B">
      <w:pPr>
        <w:spacing w:line="540" w:lineRule="exact"/>
        <w:jc w:val="center"/>
        <w:rPr>
          <w:rFonts w:ascii="华文中宋" w:hAnsi="华文中宋" w:eastAsia="华文中宋" w:cs="宋体"/>
          <w:b/>
          <w:kern w:val="0"/>
          <w:sz w:val="52"/>
          <w:szCs w:val="52"/>
        </w:rPr>
      </w:pPr>
    </w:p>
    <w:p w14:paraId="6D324D69">
      <w:pPr>
        <w:spacing w:line="540" w:lineRule="exact"/>
        <w:jc w:val="center"/>
        <w:rPr>
          <w:rFonts w:ascii="华文中宋" w:hAnsi="华文中宋" w:eastAsia="华文中宋" w:cs="宋体"/>
          <w:b/>
          <w:kern w:val="0"/>
          <w:sz w:val="52"/>
          <w:szCs w:val="52"/>
        </w:rPr>
      </w:pPr>
    </w:p>
    <w:p w14:paraId="65052222">
      <w:pPr>
        <w:spacing w:line="540" w:lineRule="exact"/>
        <w:jc w:val="center"/>
        <w:rPr>
          <w:rFonts w:ascii="华文中宋" w:hAnsi="华文中宋" w:eastAsia="华文中宋" w:cs="宋体"/>
          <w:b/>
          <w:kern w:val="0"/>
          <w:sz w:val="52"/>
          <w:szCs w:val="52"/>
        </w:rPr>
      </w:pPr>
    </w:p>
    <w:p w14:paraId="7D01A3ED">
      <w:pPr>
        <w:spacing w:line="540" w:lineRule="exact"/>
        <w:jc w:val="center"/>
        <w:rPr>
          <w:rFonts w:ascii="华文中宋" w:hAnsi="华文中宋" w:eastAsia="华文中宋" w:cs="宋体"/>
          <w:b/>
          <w:kern w:val="0"/>
          <w:sz w:val="52"/>
          <w:szCs w:val="52"/>
        </w:rPr>
      </w:pPr>
    </w:p>
    <w:p w14:paraId="593C38C5">
      <w:pPr>
        <w:spacing w:line="540" w:lineRule="exact"/>
        <w:jc w:val="center"/>
        <w:rPr>
          <w:rFonts w:ascii="华文中宋" w:hAnsi="华文中宋" w:eastAsia="华文中宋" w:cs="宋体"/>
          <w:b/>
          <w:kern w:val="0"/>
          <w:sz w:val="52"/>
          <w:szCs w:val="52"/>
        </w:rPr>
      </w:pPr>
    </w:p>
    <w:p w14:paraId="68E9366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7F1FF3C">
      <w:pPr>
        <w:spacing w:line="540" w:lineRule="exact"/>
        <w:jc w:val="center"/>
        <w:rPr>
          <w:rFonts w:ascii="华文中宋" w:hAnsi="华文中宋" w:eastAsia="华文中宋" w:cs="宋体"/>
          <w:b/>
          <w:kern w:val="0"/>
          <w:sz w:val="52"/>
          <w:szCs w:val="52"/>
        </w:rPr>
      </w:pPr>
    </w:p>
    <w:p w14:paraId="65B0ED6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63E9997">
      <w:pPr>
        <w:spacing w:line="540" w:lineRule="exact"/>
        <w:jc w:val="center"/>
        <w:rPr>
          <w:rFonts w:hAnsi="宋体" w:eastAsia="仿宋_GB2312" w:cs="宋体"/>
          <w:kern w:val="0"/>
          <w:sz w:val="30"/>
          <w:szCs w:val="30"/>
        </w:rPr>
      </w:pPr>
    </w:p>
    <w:p w14:paraId="76225274">
      <w:pPr>
        <w:spacing w:line="540" w:lineRule="exact"/>
        <w:jc w:val="center"/>
        <w:rPr>
          <w:rFonts w:hAnsi="宋体" w:eastAsia="仿宋_GB2312" w:cs="宋体"/>
          <w:kern w:val="0"/>
          <w:sz w:val="30"/>
          <w:szCs w:val="30"/>
        </w:rPr>
      </w:pPr>
    </w:p>
    <w:p w14:paraId="7FBB5AD0">
      <w:pPr>
        <w:spacing w:line="540" w:lineRule="exact"/>
        <w:jc w:val="center"/>
        <w:rPr>
          <w:rFonts w:ascii="方正小标宋_GBK" w:hAnsi="宋体" w:eastAsia="方正小标宋_GBK" w:cs="宋体"/>
          <w:kern w:val="0"/>
          <w:sz w:val="36"/>
          <w:szCs w:val="36"/>
        </w:rPr>
      </w:pPr>
    </w:p>
    <w:p w14:paraId="3D34DF34">
      <w:pPr>
        <w:spacing w:line="540" w:lineRule="exact"/>
        <w:jc w:val="center"/>
        <w:rPr>
          <w:rFonts w:hAnsi="宋体" w:eastAsia="仿宋_GB2312" w:cs="宋体"/>
          <w:kern w:val="0"/>
          <w:sz w:val="30"/>
          <w:szCs w:val="30"/>
        </w:rPr>
      </w:pPr>
    </w:p>
    <w:p w14:paraId="0D88F1A4">
      <w:pPr>
        <w:spacing w:line="540" w:lineRule="exact"/>
        <w:jc w:val="center"/>
        <w:rPr>
          <w:rFonts w:hAnsi="宋体" w:eastAsia="仿宋_GB2312" w:cs="宋体"/>
          <w:kern w:val="0"/>
          <w:sz w:val="30"/>
          <w:szCs w:val="30"/>
        </w:rPr>
      </w:pPr>
    </w:p>
    <w:p w14:paraId="78E44324">
      <w:pPr>
        <w:spacing w:line="540" w:lineRule="exact"/>
        <w:jc w:val="center"/>
        <w:rPr>
          <w:rFonts w:hAnsi="宋体" w:eastAsia="仿宋_GB2312" w:cs="宋体"/>
          <w:kern w:val="0"/>
          <w:sz w:val="30"/>
          <w:szCs w:val="30"/>
        </w:rPr>
      </w:pPr>
    </w:p>
    <w:p w14:paraId="1915938A">
      <w:pPr>
        <w:spacing w:line="540" w:lineRule="exact"/>
        <w:rPr>
          <w:rFonts w:hAnsi="宋体" w:eastAsia="仿宋_GB2312" w:cs="宋体"/>
          <w:kern w:val="0"/>
          <w:sz w:val="30"/>
          <w:szCs w:val="30"/>
        </w:rPr>
      </w:pPr>
    </w:p>
    <w:p w14:paraId="5236515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F2E5C3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房租成本性支出及后勤保障专项经费</w:t>
      </w:r>
    </w:p>
    <w:p w14:paraId="5BDB25C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新疆维吾尔自治区发展和改革委员会机关服务中心</w:t>
      </w:r>
    </w:p>
    <w:p w14:paraId="3484203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新疆维吾尔自治区发展和改革委员会机关服务中心</w:t>
      </w:r>
    </w:p>
    <w:p w14:paraId="0127224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黄义平</w:t>
      </w:r>
    </w:p>
    <w:p w14:paraId="546E477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2025年03月11日</w:t>
      </w:r>
    </w:p>
    <w:p w14:paraId="35ACE114">
      <w:pPr>
        <w:spacing w:line="700" w:lineRule="exact"/>
        <w:ind w:firstLine="708" w:firstLineChars="236"/>
        <w:jc w:val="left"/>
        <w:rPr>
          <w:rFonts w:hAnsi="宋体" w:eastAsia="仿宋_GB2312" w:cs="宋体"/>
          <w:kern w:val="0"/>
          <w:sz w:val="30"/>
          <w:szCs w:val="30"/>
        </w:rPr>
      </w:pPr>
    </w:p>
    <w:p w14:paraId="68A3D3CC">
      <w:pPr>
        <w:spacing w:line="540" w:lineRule="exact"/>
        <w:rPr>
          <w:rStyle w:val="18"/>
          <w:rFonts w:ascii="黑体" w:hAnsi="黑体" w:eastAsia="黑体"/>
          <w:b w:val="0"/>
          <w:spacing w:val="-4"/>
          <w:sz w:val="32"/>
          <w:szCs w:val="32"/>
        </w:rPr>
      </w:pPr>
    </w:p>
    <w:p w14:paraId="23BE22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CC5F49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259EE2A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我委办公楼、公房等基础设施陈旧，频繁出现跑冒滴漏现象，对委内职工集中反映的问题统筹安排，优先将必需更新及维修维护的水、电、暖气管道、阀门、公共照明等5项零星维修更换；对委办公楼、公共住宅区18000平方米管理面积的花草树木等进行修整，改善职工食堂伙食质量和就餐环境，对办公区公共住宅区加强安保巡查力度，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更新及维修维护水、电、暖气管道、阀门、公共照明等项目进行零星更换和维修；实施维护委内办公区花草绿化、办公区及职工餐厅垃圾清运、办公区下水疏通清理等物业服务；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会同委办公室协调办公楼搬迁各项工作，及时调整和增加保洁人员，为办公区配置保洁设备等，确保搬迁工作安全、有序、顺利完成。全年完成三个办公区零星维修200余次；开展年度办公区绿化工作、防虫粉刷、卫生大扫除等工作，积极做好干部职工餐饮保障工作，增强反食品浪费理念，引导食品安全意识，科学配餐、营养搭配，不断提高厨艺，确保吃的健康、吃的放心、吃的满意；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机关服务中心主要职能：机关办公与职工工作生活提供后勤服务、机关交通、文印、办公区环境卫生、会议招待、公房维修、物业管理、资产管理、职工餐饮、承办机关委托有关事项服务及相关社会服务。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编制人数45人，其中：事业人员编制45人，实有在职人数25人，离退休人员43人，其中：事业退休43人。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厅《关于批复自治区本级2024年部门预算的通知》（新财预【2024】1号）文件预算安排资金0万元，单位资金226万元，其中维修（护）费45.70万元、物业管理费补助费用31.50万元、其他商品服务2万元、委托业务费146.80万元，截至2024年12月31日，实际支出186.89万元，预算执行率82.69%。</w:t>
      </w:r>
    </w:p>
    <w:p w14:paraId="13A89DD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4818C40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认真落实民生工程有关要求，针对我委办公楼、公房等基础设施陈旧，频繁出现跑冒滴漏现象，对委内职工反映集中的问题统筹安排，优先将必需更新及维修维护的水、电、暖气管道、阀门、公共照明等项目进行零星更换和维修；实施维护委内办公区花草绿化、办公区及职工餐厅垃圾清运、办公区下水疏通清理等物业服务；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政府购买服务相关要求，通过委托招标代理、公开招标等流程，已与新疆克拉物业管理服务有限公司签订后勤管理服务项目合同，两个项目涉及41名购买服务人员，按照合同约定支付相关费用。按照合同约定我委搬迁西后街办公区，服务保障范围发生变化，食堂停办，将按照我委实际需求调整政府购买服务范围。积极协调机关事务管理局和餐饮公司，妥善解决我委职工食堂工作人员就业问题。</w:t>
      </w:r>
    </w:p>
    <w:p w14:paraId="78B74E5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68CA3DC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43117E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以房租成本性支出及后勤保障专项经费项目支出为对象所对应的预算资金，以项目实施所带来的产出和效果为主要内容，以促进预算单位完成特定工作任务目标所组织开展的绩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本次评价范围涵盖项目总体绩效目标、各项绩效指标完成情况以及预算执行情况。覆盖项目预算资金支出的所有内容进行评价。包括项目产出、项目实施和项目成果验收流程、项目达到的效益等。</w:t>
      </w:r>
    </w:p>
    <w:p w14:paraId="1C92887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17E65F8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绩效评价指标体系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绩效评价方法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本次评价采用定量与定性评价相结合的比较法，公众评判法，总分由各项指标得分汇总形成。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工作组采用实地调查的形式,充分了解掌握资金分配、资金管理、资金使用、制度建设、制度执行、项目实施效果等情况。采用问卷调查方式,对项目受益对象开展满意度调查,评价房租成本性支出及后勤保障专项经费项目产出的效益及满意度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535AD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4E51DD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李刚任评价组组长，绩效评价工作职责为负责全盘工作。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曹王平任评价组副组长，绩效评价工作职责为对项目实施情况进行实地调查。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杨云军、王文革、黎涛任评价组成员，绩效评价工作职责为负责资料审核等工作。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项目撰写绩效评价报告，按照财政厅大平台绩效系统中统一格式和文本框架撰写绩效评价报告。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7F0FED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5543BCF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房租成本性支出及后勤保障专项经费项目总体组织规范，完成了房租成本性支出及后勤保障专项经费项目的工作目标，有效规范了项目档案资料的整理，推动了房租成本性支出及后勤保障专项经费产生社会效益。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在项目决策方面，房租成本性支出及后勤保障专项经费项目立项依据充分，立项程序规范。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项目管理方面，2024年本项目预算安排226万元，实际支出186.89万元，预算执行率82.69%。 项目资金使用合规，项目财务管理制度健全，财务监控到位，所有资金支付均按照财务制度严格执行，现有项目管理制度执行情况良好。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项目产出方面：紧扣各个环节，逐步推进，及时与职能部门跟踪项目进展，加强项目督办，充分调动职能部门的积极性，加大项目投入工作的力度，加快项目实施进度，确保项目严格按照年度预期目标执行。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项目效益方面：按预定目标完成了年初所设定的各项指标。专项经费实际支出未超出预算规定，保障了专项工作的开展。有效解决办公及公共住宅的环境，不断提升全委干部职工办公及生活环境的满意度。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项目组制定评价指标体系及财政部《项目支出绩效评价管理办法》（财预〔2020〕10号）文件中的评价指标体系及评分标准，通过数据采集、调查访谈，综合分析对房租成本性支出及后勤保障专项经费项目进行客观评价，最终评分结果：总得分为97.43分，根据财预〔2021〕61号文的评分等级：90（含）-100分为优、80（含）-90分为良、60（含）-80分为中、60分以下为差，该项目得分等级为“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房租成本性支出及后勤保障专项经费项目绩效得分情况表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 项目决策 项目过程 项目产出 合计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权重 30 30 40 100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分值 30 29.13 38.3 97.43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得分率 100.00% 97.1% 95.75% 97.43%</w:t>
      </w:r>
    </w:p>
    <w:p w14:paraId="6B88EA9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7D4809B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7AA2965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项目决策类指标包括项目立项、绩效目标和资金投入三方面的内容，由6个三级指标构成，权重分为 30 分，实际得分30分，得分率为100%。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根据新党编委【2019】20号文件立项，旨在为委机关提供后勤保障工作，会同委办公室协调办公楼搬迁各项工作，及时调整和增加保洁人员，为办公区配置保洁设备等，确保搬迁工作安全、有序、顺利完成。全年完成三个办公区零星维修200余次；开展年度办公区绿化工作、防虫粉刷、卫生大扫除等工作，积极做好干部职工餐饮保障工作，增强反食品浪费理念，引导食品安全意识，科学配餐、营养搭配，不断提高厨艺，确保吃的健康、吃的放心、吃的满意；有效解决办公及公共住宅的环境，不断提升全委干部职工办公及生活环境的满意度。项目的立项符合相关法规政策及机关服务中心部门职责，立项依据充分；项目按照规定的程序申请设立；审批文件、材料符合相关要求。根据评分标准，该指标满分5分，指标不扣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分管领导进行沟通、筛选确定经费预算计划，上党委会研究确定最终预算方案，该项目按照规定的程序申请设立；审批文件、材料符合相关要求。根据评分标准，该指标满分3分，指标不扣分，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该项目制定了实施方案，明确了总体思路及目标、并对任务进行了详细分解，对目标进行了细化，项目设置有绩效目标且绩效目标与机关服务中心实际工作内容具有相关性，与预算确定的资金量相匹配。根据评分标准，该指标满分4分，指标不扣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项目根据绩效目标细化分解设置了绩效指标，其中一级指标2个，二级指标4个，三级指标10个，其中量化指标10条，指标量化率为100%，能够清晰、可衡量的体现绩效目标的任务要求及效益效果，与绩效目标任务数相对应。根据评分标准，该指标满分4分，指标不扣分，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该项目预算编制经过科学论证，内容与项目内容匹配，项目投资额与工作任务相匹配。根据评分标准，该指标满分7分，指标不扣分，得分7分。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与实际相适应，该项目预算资金226万元，其中维修费45.70万元（包括招待所粉刷工程；零星维修。），物业管理费补助费用31.50万元（包括机关外围积雪外包费；机关大院清雪费；清理办公区废旧家具杂物；机关大院下水井疏通费用；办公区绿化费；各门卫室通讯费；维修绿化及清雪设备）。其他商品和服务支出2万元。（包括保洁用纸；党建宣传、节能型机关创建、垃圾分类、消防宣传等广告品），委托业务费146.80万元。根据评分标准，该指标满分7分，指标不扣分，得分7分。</w:t>
      </w:r>
    </w:p>
    <w:p w14:paraId="345D2E5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10B97D4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5个三级指标构成，权重分为30分，实际得分29.13分，得分率为97.1%。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单位资金足额到位，牵头单位能够及时足额按照合同约定将专项资金拨付给联合体单位，项目预算总资金为226万元，实际到位资金226万元，资金到位率=226/226*100%=100%。根据评分标准，该指标满分5分，指标不扣分，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（2）预算执行率：项目实际支付资金186.89万元。预算执行率=执行预算金额/到位预算金额=186.89/226*100%=82.69%。</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根据评分标准，该指标满分5分，得分4.13分。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（3）资金使用合规性：我单位严格遵守资金使用相关规定、办法进行支付管理，按照《新疆维吾</w:t>
      </w:r>
      <w:r>
        <w:rPr>
          <w:rStyle w:val="18"/>
          <w:rFonts w:hint="eastAsia" w:ascii="楷体" w:hAnsi="楷体" w:eastAsia="楷体"/>
          <w:spacing w:val="-4"/>
          <w:sz w:val="32"/>
          <w:szCs w:val="32"/>
          <w:lang w:eastAsia="zh-CN"/>
        </w:rPr>
        <w:t>尔</w:t>
      </w:r>
      <w:bookmarkStart w:id="0" w:name="_GoBack"/>
      <w:bookmarkEnd w:id="0"/>
      <w:r>
        <w:rPr>
          <w:rStyle w:val="18"/>
          <w:rFonts w:hint="eastAsia" w:ascii="楷体" w:hAnsi="楷体" w:eastAsia="楷体"/>
          <w:spacing w:val="-4"/>
          <w:sz w:val="32"/>
          <w:szCs w:val="32"/>
        </w:rPr>
        <w:t>自治区发展和改革委员会机关财务管理办法》,严控经费支出，并严格按照公示制度要求进行公示，对项目资金，把资金的审批分配、监督检查与绩效评价结合起来，遵循先预算、再审批、后支出的原则，确保了财政资金分配和财政审批程序合法，保证了项目资金的合理使用。对本级资金安排项目按照单位内部制定的资金管理办法及其他相关管理办法进行管理并严格执行，实行专人管理、专户储存、专账核算、专项使用、专款专用，无擅自调项、扩项、缩项，及拆借、挪用、挤占和随意扣压；资金拨付动向，按预算专项资金的要求执行，未任意改变；特殊状况，按照请示审批执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根据评分标准，该指标不扣分，得7分。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按照中心制定的《物业管理办法》、《维修管理办法》等，落实“一岗双责”，强化作风建设，进一步规范后勤管理，积极配合委广场联合办公大楼搬迁协调组开展前期设计、造价、监理、委托招标；配合协调新办公楼节能改造、主体施工、信息化建设等工作。会同委办公室协调办公楼搬迁各项工作。积极做好干部职工餐饮保障工作，增强反食品浪费理念，引导食品安全意识，科学配餐、营养搭配，不断提高厨艺，确保吃的健康、吃的放心、吃的满意。截</w:t>
      </w:r>
      <w:r>
        <w:rPr>
          <w:rStyle w:val="18"/>
          <w:rFonts w:hint="eastAsia" w:ascii="楷体" w:hAnsi="楷体" w:eastAsia="楷体"/>
          <w:spacing w:val="-4"/>
          <w:sz w:val="32"/>
          <w:szCs w:val="32"/>
          <w:lang w:eastAsia="zh-CN"/>
        </w:rPr>
        <w:t>至</w:t>
      </w:r>
      <w:r>
        <w:rPr>
          <w:rStyle w:val="18"/>
          <w:rFonts w:hint="eastAsia" w:ascii="楷体" w:hAnsi="楷体" w:eastAsia="楷体"/>
          <w:spacing w:val="-4"/>
          <w:sz w:val="32"/>
          <w:szCs w:val="32"/>
        </w:rPr>
        <w:t>目前，全年共计就餐63167人次。积极开展自治区机关事务管理局反食品浪费评估工作，参加全区反食品浪费评估检查工作，机关食堂在迎接自治区机关事务管理局反食品浪费评估工作检查中，被评为优秀食堂。常态化做好委机关日常维修、物业、车辆等保障工作，全年完成三个办公区零星维修200余次；二是物业保洁。积极开展“无烟党政机关”创建工作，并通过天山区文明办检查验收；配合社区开展文明城市和文明单位创建工作，组织开展学雷锋、交通文明岗、树木为消除安全隐患，更换办公楼消防器材一批；开展年度办公区绿化工作、防虫粉刷、卫生大扫除等工作，种植养护绿植2500㎡，花卉3000株。三是车辆保障。严格落实车辆定点加油和定点维修制度，机关公务用车保障全年安全无事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根据评分标准，该指标不扣分，得7分。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（5）制度执行有效性：由部门提出经费预算支出可行性方案，经过与分管领导沟通后执行，财务对资金的使用合法合规性进行监督，年底对资金使用效果进行自评，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根据评分标准，该指标不扣分，得6分。</w:t>
      </w:r>
    </w:p>
    <w:p w14:paraId="718EE91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3988467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项目产出类指标包括产出数量、产出质量、产出时效、产出成本四方面的内容，由10个三级指标构成，权重分为40分，实际得分38.3分，得分率为95.75%。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零星维修等物业服务工作，预期指标值为5项，实际完成值为5项，与预期目标一致，根据评分标准，该指标不扣分，得5分。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办公及宿舍物业管理面积，预期指标值为18000平方米，实际完成值为18000平方米，根据评分标准，该指标不扣分，得5分。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物业管理服务达标率，预期值为100%，实际完成率为100%，与预期目标一致，根据评分标准，该指标不扣分，得5分。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零星维修等服务达标率100%，实际完成率为100%，与预期目标一致，根据评分标准，该指标不扣分，得5分。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（3）对于“产出时效”：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后勤保障时间12月，与预期目标指标一致。根据评分标准，该指标不扣分，得5分。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物业管理服务达标率，预期值为100%，实际完成率为100%，与预期目标指标一致。根据评分标准，该指标不扣分，得5分。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（4）对于“产出成本”：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零星维修等服务支出预期值为45.7万元，实际完成15.99万元，偏差原因：因办公楼待搬迁故部分项目未实施，采取的措施：待办公楼搬迁后维修项目实施完毕验收后立即支付项目资金。根据评分标准，该指标扣1.3分，得0.7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物业管理费补助费用预期值为31.5万元，实际完成26.57万元，偏差原因：因办公楼待搬迁故部分项目未实施，采取的措施：待办公楼搬迁后维修项目实施完毕验收后立即支付项目资金。根据评分标准，该指标扣0.31分，得1.69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其他商品服务支出预期值为2万元，实际完成2万元，项目经费都能控制在绩效目标范围内，根据评分标准，该指标不扣分，得3分。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委托业务费支出预期值为146.8万元，实际完成142.33万元，偏差原因：按中标金额支付实际费用，采取的措施：通过充分竞争，选择最优方案和供应商。根据评分标准，该指标扣0.09分，得2.91分。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合计得分：8.3分。</w:t>
      </w:r>
    </w:p>
    <w:p w14:paraId="6B21D2B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150EA45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项目无效益类指标。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对于“可持续影响指标”：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p>
    <w:p w14:paraId="59BB7B1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本项目无该指标。</w:t>
      </w:r>
    </w:p>
    <w:p w14:paraId="3B5C23B4">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50DCC32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本项目能够严格按照《项目实施方案》执行，项目执行情况较好。二是加强组织领导，本项目绩效评价工作，有中心主要领导亲自挂帅，专人具体负责，从项目到资金，均能够很好的执行。三是加强沟通协调，我单位及时向委领导汇报项目执行进度，加强与施工单位的沟通，确保项目按期完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EF23ACF">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16BBDD63">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3.通过绩效管理，发现实施中存在漏洞，以后加强管理，及时掌握与之相关的各类信息，减少成本，使资金效益最大化。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4．评价工作应从项目实施方案源头抓起，评价工作和意识应贯穿项目整个过程。</w:t>
      </w:r>
    </w:p>
    <w:p w14:paraId="1D2A31F4">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32A52CBC">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3E20FB09">
      <w:pPr>
        <w:spacing w:line="540" w:lineRule="exact"/>
        <w:ind w:firstLine="567"/>
        <w:rPr>
          <w:rStyle w:val="18"/>
          <w:rFonts w:ascii="仿宋" w:hAnsi="仿宋" w:eastAsia="仿宋"/>
          <w:b w:val="0"/>
          <w:spacing w:val="-4"/>
          <w:sz w:val="32"/>
          <w:szCs w:val="32"/>
        </w:rPr>
      </w:pPr>
    </w:p>
    <w:p w14:paraId="7C21EBBD">
      <w:pPr>
        <w:spacing w:line="540" w:lineRule="exact"/>
        <w:ind w:firstLine="567"/>
        <w:rPr>
          <w:rStyle w:val="18"/>
          <w:rFonts w:ascii="仿宋" w:hAnsi="仿宋" w:eastAsia="仿宋"/>
          <w:b w:val="0"/>
          <w:spacing w:val="-4"/>
          <w:sz w:val="32"/>
          <w:szCs w:val="32"/>
        </w:rPr>
      </w:pPr>
    </w:p>
    <w:p w14:paraId="73301852">
      <w:pPr>
        <w:spacing w:line="540" w:lineRule="exact"/>
        <w:ind w:firstLine="567"/>
        <w:rPr>
          <w:rStyle w:val="18"/>
          <w:rFonts w:ascii="仿宋" w:hAnsi="仿宋" w:eastAsia="仿宋"/>
          <w:b w:val="0"/>
          <w:spacing w:val="-4"/>
          <w:sz w:val="32"/>
          <w:szCs w:val="32"/>
        </w:rPr>
      </w:pPr>
    </w:p>
    <w:p w14:paraId="62151A8D">
      <w:pPr>
        <w:spacing w:line="540" w:lineRule="exact"/>
        <w:ind w:firstLine="567"/>
        <w:rPr>
          <w:rStyle w:val="18"/>
          <w:rFonts w:ascii="仿宋" w:hAnsi="仿宋" w:eastAsia="仿宋"/>
          <w:b w:val="0"/>
          <w:spacing w:val="-4"/>
          <w:sz w:val="32"/>
          <w:szCs w:val="32"/>
        </w:rPr>
      </w:pPr>
    </w:p>
    <w:p w14:paraId="6BCF2159">
      <w:pPr>
        <w:spacing w:line="540" w:lineRule="exact"/>
        <w:ind w:firstLine="567"/>
        <w:rPr>
          <w:rStyle w:val="18"/>
          <w:rFonts w:ascii="仿宋" w:hAnsi="仿宋" w:eastAsia="仿宋"/>
          <w:b w:val="0"/>
          <w:spacing w:val="-4"/>
          <w:sz w:val="32"/>
          <w:szCs w:val="32"/>
        </w:rPr>
      </w:pPr>
    </w:p>
    <w:p w14:paraId="45ADBC86">
      <w:pPr>
        <w:spacing w:line="540" w:lineRule="exact"/>
        <w:ind w:firstLine="567"/>
        <w:rPr>
          <w:rStyle w:val="18"/>
          <w:rFonts w:ascii="仿宋" w:hAnsi="仿宋" w:eastAsia="仿宋"/>
          <w:b w:val="0"/>
          <w:spacing w:val="-4"/>
          <w:sz w:val="32"/>
          <w:szCs w:val="32"/>
        </w:rPr>
      </w:pPr>
    </w:p>
    <w:p w14:paraId="1C1F8E9B">
      <w:pPr>
        <w:spacing w:line="540" w:lineRule="exact"/>
        <w:ind w:firstLine="567"/>
        <w:rPr>
          <w:rStyle w:val="18"/>
          <w:rFonts w:ascii="仿宋" w:hAnsi="仿宋" w:eastAsia="仿宋"/>
          <w:b w:val="0"/>
          <w:spacing w:val="-4"/>
          <w:sz w:val="32"/>
          <w:szCs w:val="32"/>
        </w:rPr>
      </w:pPr>
    </w:p>
    <w:p w14:paraId="3D2608DF">
      <w:pPr>
        <w:spacing w:line="540" w:lineRule="exact"/>
        <w:ind w:firstLine="567"/>
        <w:rPr>
          <w:rStyle w:val="18"/>
          <w:rFonts w:ascii="仿宋" w:hAnsi="仿宋" w:eastAsia="仿宋"/>
          <w:b w:val="0"/>
          <w:spacing w:val="-4"/>
          <w:sz w:val="32"/>
          <w:szCs w:val="32"/>
        </w:rPr>
      </w:pPr>
    </w:p>
    <w:p w14:paraId="7D2BD27D">
      <w:pPr>
        <w:spacing w:line="540" w:lineRule="exact"/>
        <w:ind w:firstLine="567"/>
        <w:rPr>
          <w:rStyle w:val="18"/>
          <w:rFonts w:ascii="仿宋" w:hAnsi="仿宋" w:eastAsia="仿宋"/>
          <w:b w:val="0"/>
          <w:spacing w:val="-4"/>
          <w:sz w:val="32"/>
          <w:szCs w:val="32"/>
        </w:rPr>
      </w:pPr>
    </w:p>
    <w:p w14:paraId="72A41F46">
      <w:pPr>
        <w:spacing w:line="540" w:lineRule="exact"/>
        <w:ind w:firstLine="567"/>
        <w:rPr>
          <w:rStyle w:val="18"/>
          <w:rFonts w:ascii="仿宋" w:hAnsi="仿宋" w:eastAsia="仿宋"/>
          <w:b w:val="0"/>
          <w:spacing w:val="-4"/>
          <w:sz w:val="32"/>
          <w:szCs w:val="32"/>
        </w:rPr>
      </w:pPr>
    </w:p>
    <w:p w14:paraId="2A0F9B52">
      <w:pPr>
        <w:spacing w:line="540" w:lineRule="exact"/>
        <w:ind w:firstLine="567"/>
        <w:rPr>
          <w:rStyle w:val="18"/>
          <w:rFonts w:ascii="仿宋" w:hAnsi="仿宋" w:eastAsia="仿宋"/>
          <w:b w:val="0"/>
          <w:spacing w:val="-4"/>
          <w:sz w:val="32"/>
          <w:szCs w:val="32"/>
        </w:rPr>
      </w:pPr>
    </w:p>
    <w:p w14:paraId="3A53403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4F87785">
        <w:pPr>
          <w:pStyle w:val="12"/>
          <w:jc w:val="center"/>
        </w:pPr>
        <w:r>
          <w:fldChar w:fldCharType="begin"/>
        </w:r>
        <w:r>
          <w:instrText xml:space="preserve">PAGE   \* MERGEFORMAT</w:instrText>
        </w:r>
        <w:r>
          <w:fldChar w:fldCharType="separate"/>
        </w:r>
        <w:r>
          <w:rPr>
            <w:lang w:val="zh-CN"/>
          </w:rPr>
          <w:t>11</w:t>
        </w:r>
        <w:r>
          <w:fldChar w:fldCharType="end"/>
        </w:r>
      </w:p>
    </w:sdtContent>
  </w:sdt>
  <w:p w14:paraId="5FBB233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1E6195"/>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03836"/>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2006F"/>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1286A74"/>
    <w:rsid w:val="31232D9F"/>
    <w:rsid w:val="4C3D1751"/>
    <w:rsid w:val="4D2606A1"/>
    <w:rsid w:val="5C60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7918</Words>
  <Characters>8284</Characters>
  <Lines>60</Lines>
  <Paragraphs>16</Paragraphs>
  <TotalTime>0</TotalTime>
  <ScaleCrop>false</ScaleCrop>
  <LinksUpToDate>false</LinksUpToDate>
  <CharactersWithSpaces>8329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2025-08-18T03:42:00Z</dcterms:created>
  <dc:creator>赵 恺（预算处）</dc:creator>
  <cp:lastModifiedBy>夏至未至</cp:lastModifiedBy>
  <cp:lastPrinted>2018-12-31T10:56:00Z</cp:lastPrinted>
  <dcterms:modified xsi:type="dcterms:W3CDTF">2025-09-01T11:24:43Z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160D1BA1944349B08C48068401F6E698</vt:lpwstr>
  </property>
  <property fmtid="{D5CDD505-2E9C-101B-9397-08002B2CF9AE}" pid="4" name="KSOTemplateDocerSaveRecord">
    <vt:lpwstr>eyJoZGlkIjoiMGJlZDNhZGQyNzVlYTgyMjI3NWMyYTU4NTY5MTM1YWYiLCJ1c2VySWQiOiI0NjAxNDgzOTUifQ==</vt:lpwstr>
  </property>
</Properties>
</file>